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70" w:rsidRPr="00BB58DF" w:rsidRDefault="00BB58DF" w:rsidP="00D524D1">
      <w:pPr>
        <w:spacing w:after="0"/>
        <w:jc w:val="center"/>
        <w:rPr>
          <w:b/>
          <w:u w:val="single"/>
        </w:rPr>
      </w:pPr>
      <w:r w:rsidRPr="00BB58DF">
        <w:rPr>
          <w:b/>
          <w:u w:val="single"/>
        </w:rPr>
        <w:t>On Windows 10, Make Sure No Other Programs Are Running</w:t>
      </w:r>
    </w:p>
    <w:p w:rsidR="00D524D1" w:rsidRPr="00D524D1" w:rsidRDefault="00D524D1" w:rsidP="00D524D1">
      <w:pPr>
        <w:spacing w:after="0"/>
        <w:jc w:val="center"/>
        <w:rPr>
          <w:b/>
          <w:u w:val="single"/>
        </w:rPr>
      </w:pPr>
    </w:p>
    <w:p w:rsidR="00BB58DF" w:rsidRDefault="00BB58DF" w:rsidP="00D524D1">
      <w:pPr>
        <w:spacing w:after="0"/>
      </w:pPr>
      <w:r>
        <w:t>Note: The programs / applications running on Windows 10 are shown on the Windows Task Bar, which is usually located at the bottom of the screen, and is the bar that the Windows Start Menu is accessed fr</w:t>
      </w:r>
      <w:bookmarkStart w:id="0" w:name="_GoBack"/>
      <w:bookmarkEnd w:id="0"/>
      <w:r>
        <w:t>om:</w:t>
      </w:r>
    </w:p>
    <w:p w:rsidR="00AB0520" w:rsidRDefault="00AB0520" w:rsidP="00D524D1">
      <w:pPr>
        <w:spacing w:after="0"/>
      </w:pPr>
    </w:p>
    <w:p w:rsidR="00AB0520" w:rsidRDefault="00AB0520" w:rsidP="00AB0520">
      <w:pPr>
        <w:spacing w:after="0"/>
        <w:jc w:val="center"/>
      </w:pPr>
      <w:r>
        <w:rPr>
          <w:noProof/>
        </w:rPr>
        <w:drawing>
          <wp:inline distT="0" distB="0" distL="0" distR="0">
            <wp:extent cx="685800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1809750"/>
                    </a:xfrm>
                    <a:prstGeom prst="rect">
                      <a:avLst/>
                    </a:prstGeom>
                    <a:noFill/>
                    <a:ln>
                      <a:noFill/>
                    </a:ln>
                  </pic:spPr>
                </pic:pic>
              </a:graphicData>
            </a:graphic>
          </wp:inline>
        </w:drawing>
      </w:r>
    </w:p>
    <w:p w:rsidR="00BB58DF" w:rsidRDefault="00BB58DF" w:rsidP="00D524D1">
      <w:pPr>
        <w:spacing w:after="0"/>
      </w:pPr>
    </w:p>
    <w:p w:rsidR="00BB58DF" w:rsidRDefault="00BB58DF" w:rsidP="00D524D1">
      <w:pPr>
        <w:spacing w:after="0"/>
      </w:pPr>
      <w:r>
        <w:t>To close a running program...</w:t>
      </w:r>
    </w:p>
    <w:p w:rsidR="00BB58DF" w:rsidRDefault="00BB58DF" w:rsidP="00D524D1">
      <w:pPr>
        <w:spacing w:after="0"/>
      </w:pPr>
      <w:r>
        <w:t>1) Right-click on the program on the Windows task bar and then select ‘</w:t>
      </w:r>
      <w:r>
        <w:rPr>
          <w:b/>
        </w:rPr>
        <w:t>Clos</w:t>
      </w:r>
      <w:r w:rsidR="00AB0520">
        <w:rPr>
          <w:b/>
        </w:rPr>
        <w:t>e window</w:t>
      </w:r>
      <w:r>
        <w:t>’ from the pop-up menu:</w:t>
      </w:r>
    </w:p>
    <w:p w:rsidR="00BB58DF" w:rsidRDefault="00BB58DF" w:rsidP="00D524D1">
      <w:pPr>
        <w:spacing w:after="0"/>
      </w:pPr>
    </w:p>
    <w:p w:rsidR="00D524D1" w:rsidRDefault="00AB0520" w:rsidP="00AB0520">
      <w:pPr>
        <w:spacing w:after="0"/>
        <w:jc w:val="center"/>
      </w:pPr>
      <w:r>
        <w:rPr>
          <w:noProof/>
        </w:rPr>
        <w:drawing>
          <wp:inline distT="0" distB="0" distL="0" distR="0">
            <wp:extent cx="3676650" cy="254699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4775" cy="2559548"/>
                    </a:xfrm>
                    <a:prstGeom prst="rect">
                      <a:avLst/>
                    </a:prstGeom>
                    <a:noFill/>
                    <a:ln>
                      <a:noFill/>
                    </a:ln>
                  </pic:spPr>
                </pic:pic>
              </a:graphicData>
            </a:graphic>
          </wp:inline>
        </w:drawing>
      </w:r>
    </w:p>
    <w:p w:rsidR="00AB0520" w:rsidRDefault="00AB0520" w:rsidP="00D524D1">
      <w:pPr>
        <w:spacing w:after="0"/>
      </w:pPr>
    </w:p>
    <w:p w:rsidR="00AB0520" w:rsidRDefault="00AB0520" w:rsidP="00D524D1">
      <w:pPr>
        <w:spacing w:after="0"/>
      </w:pPr>
      <w:r>
        <w:t>* The selected program will be closed.</w:t>
      </w:r>
    </w:p>
    <w:p w:rsidR="00AB0520" w:rsidRDefault="00AB0520" w:rsidP="00D524D1">
      <w:pPr>
        <w:spacing w:after="0"/>
      </w:pPr>
    </w:p>
    <w:p w:rsidR="00AB0520" w:rsidRDefault="00AB0520" w:rsidP="00D524D1">
      <w:pPr>
        <w:spacing w:after="0"/>
      </w:pPr>
      <w:r>
        <w:t>2) Repeat step #1 until there are no more programs shown on the Windows task bar:</w:t>
      </w:r>
    </w:p>
    <w:p w:rsidR="008E7B36" w:rsidRDefault="008E7B36" w:rsidP="00D524D1">
      <w:pPr>
        <w:spacing w:after="0"/>
      </w:pPr>
    </w:p>
    <w:p w:rsidR="008E7B36" w:rsidRDefault="008E7B36" w:rsidP="00D524D1">
      <w:pPr>
        <w:spacing w:after="0"/>
      </w:pPr>
      <w:r>
        <w:rPr>
          <w:noProof/>
        </w:rPr>
        <w:drawing>
          <wp:inline distT="0" distB="0" distL="0" distR="0">
            <wp:extent cx="68580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1543050"/>
                    </a:xfrm>
                    <a:prstGeom prst="rect">
                      <a:avLst/>
                    </a:prstGeom>
                    <a:noFill/>
                    <a:ln>
                      <a:noFill/>
                    </a:ln>
                  </pic:spPr>
                </pic:pic>
              </a:graphicData>
            </a:graphic>
          </wp:inline>
        </w:drawing>
      </w:r>
    </w:p>
    <w:p w:rsidR="00AB0520" w:rsidRDefault="00AB0520" w:rsidP="00D524D1">
      <w:pPr>
        <w:spacing w:after="0"/>
      </w:pPr>
    </w:p>
    <w:p w:rsidR="00AB0520" w:rsidRDefault="00AB0520" w:rsidP="00D524D1">
      <w:pPr>
        <w:spacing w:after="0"/>
      </w:pPr>
    </w:p>
    <w:sectPr w:rsidR="00AB0520" w:rsidSect="00D524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D1"/>
    <w:rsid w:val="008E7B36"/>
    <w:rsid w:val="00AB0520"/>
    <w:rsid w:val="00BB58DF"/>
    <w:rsid w:val="00C10A70"/>
    <w:rsid w:val="00D5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BBBE"/>
  <w15:chartTrackingRefBased/>
  <w15:docId w15:val="{E16292F8-C360-44DC-BF2E-07FC65A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Daimler AG</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David (164)</dc:creator>
  <cp:keywords/>
  <dc:description/>
  <cp:lastModifiedBy>Meier, David (164)</cp:lastModifiedBy>
  <cp:revision>4</cp:revision>
  <dcterms:created xsi:type="dcterms:W3CDTF">2021-04-06T17:54:00Z</dcterms:created>
  <dcterms:modified xsi:type="dcterms:W3CDTF">2021-04-06T18:08:00Z</dcterms:modified>
</cp:coreProperties>
</file>